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1170A4" w:rsidRPr="004E1096" w:rsidP="004475BE">
      <w:pPr>
        <w:jc w:val="both"/>
        <w:rPr>
          <w:rFonts w:ascii="Arial" w:hAnsi="Arial" w:cs="Arial"/>
          <w:b/>
          <w:sz w:val="24"/>
          <w:szCs w:val="24"/>
          <w:u w:val="single"/>
        </w:rPr>
      </w:pPr>
      <w:bookmarkStart w:id="0" w:name="_GoBack"/>
      <w:bookmarkEnd w:id="0"/>
      <w:r w:rsidRPr="004E1096">
        <w:rPr>
          <w:rFonts w:ascii="Arial" w:hAnsi="Arial" w:cs="Arial"/>
          <w:b/>
          <w:sz w:val="24"/>
          <w:szCs w:val="24"/>
          <w:u w:val="single"/>
        </w:rPr>
        <w:t>Preston, South Ribble and Lancashire City Deal – Lead Contact Sarah Parry</w:t>
      </w:r>
    </w:p>
    <w:p w:rsidR="00FB438E" w:rsidRPr="004E1096" w:rsidP="00E11D3D">
      <w:pPr>
        <w:jc w:val="both"/>
        <w:rPr>
          <w:rFonts w:ascii="Arial" w:hAnsi="Arial" w:cs="Arial"/>
          <w:b/>
          <w:u w:val="single"/>
        </w:rPr>
      </w:pPr>
      <w:r w:rsidRPr="004E1096">
        <w:rPr>
          <w:rFonts w:ascii="Arial" w:hAnsi="Arial" w:cs="Arial"/>
          <w:b/>
          <w:u w:val="single"/>
        </w:rPr>
        <w:t>Background</w:t>
      </w:r>
    </w:p>
    <w:p w:rsidR="00E11D3D" w:rsidRPr="003E0C4C" w:rsidP="00E11D3D">
      <w:pPr>
        <w:jc w:val="both"/>
        <w:rPr>
          <w:rFonts w:ascii="Arial" w:hAnsi="Arial" w:cs="Arial"/>
          <w:iCs/>
        </w:rPr>
      </w:pPr>
      <w:r w:rsidRPr="00FB438E">
        <w:rPr>
          <w:rFonts w:ascii="Arial" w:hAnsi="Arial" w:cs="Arial"/>
          <w:i/>
          <w:iCs/>
        </w:rPr>
        <w:t>The</w:t>
      </w:r>
      <w:r w:rsidRPr="003E0C4C">
        <w:rPr>
          <w:rFonts w:ascii="Arial" w:hAnsi="Arial" w:cs="Arial"/>
          <w:iCs/>
        </w:rPr>
        <w:t xml:space="preserve"> £450m Preston, South Ribble and Lancashire City Deal was agreed with HM Government in 2013 and is </w:t>
      </w:r>
      <w:r>
        <w:rPr>
          <w:rFonts w:ascii="Arial" w:hAnsi="Arial" w:cs="Arial"/>
          <w:iCs/>
        </w:rPr>
        <w:t xml:space="preserve">a </w:t>
      </w:r>
      <w:r w:rsidRPr="003E0C4C">
        <w:rPr>
          <w:rFonts w:ascii="Arial" w:hAnsi="Arial" w:cs="Arial"/>
          <w:iCs/>
        </w:rPr>
        <w:t xml:space="preserve">10 year infrastructure delivery programme, driving forward local </w:t>
      </w:r>
      <w:r w:rsidRPr="003E0C4C">
        <w:rPr>
          <w:rFonts w:ascii="Arial" w:hAnsi="Arial" w:cs="Arial"/>
          <w:iCs/>
        </w:rPr>
        <w:t>growth by enabling the City Deal area to maximise the area's economic assets and opportunities. City Deal partners include; Lancashire Enterprise Partnership, Central Government, Lancashire County Council, Preston City Council, South Ribble Borough Council</w:t>
      </w:r>
      <w:r w:rsidRPr="003E0C4C">
        <w:rPr>
          <w:rFonts w:ascii="Arial" w:hAnsi="Arial" w:cs="Arial"/>
          <w:iCs/>
        </w:rPr>
        <w:t xml:space="preserve"> and </w:t>
      </w:r>
      <w:r>
        <w:rPr>
          <w:rFonts w:ascii="Arial" w:hAnsi="Arial" w:cs="Arial"/>
          <w:iCs/>
        </w:rPr>
        <w:t>H</w:t>
      </w:r>
      <w:r w:rsidRPr="003E0C4C">
        <w:rPr>
          <w:rFonts w:ascii="Arial" w:hAnsi="Arial" w:cs="Arial"/>
          <w:iCs/>
        </w:rPr>
        <w:t>omes</w:t>
      </w:r>
      <w:r>
        <w:rPr>
          <w:rFonts w:ascii="Arial" w:hAnsi="Arial" w:cs="Arial"/>
          <w:iCs/>
        </w:rPr>
        <w:t xml:space="preserve"> England</w:t>
      </w:r>
      <w:r w:rsidRPr="003E0C4C">
        <w:rPr>
          <w:rFonts w:ascii="Arial" w:hAnsi="Arial" w:cs="Arial"/>
          <w:iCs/>
        </w:rPr>
        <w:t xml:space="preserve">.  The City Deal </w:t>
      </w:r>
      <w:r>
        <w:rPr>
          <w:rFonts w:ascii="Arial" w:hAnsi="Arial" w:cs="Arial"/>
          <w:iCs/>
        </w:rPr>
        <w:t>is intended to</w:t>
      </w:r>
      <w:r w:rsidRPr="003E0C4C">
        <w:rPr>
          <w:rFonts w:ascii="Arial" w:hAnsi="Arial" w:cs="Arial"/>
          <w:iCs/>
        </w:rPr>
        <w:t xml:space="preserve"> generate; more than 20,000 net new private sector jobs, including 5,000 in the Lancashire Enterprise Zone; nearly £1 billion GVA; 17,420 new homes; and £2.3 billion in leveraged commercial investment.  </w:t>
      </w:r>
    </w:p>
    <w:p w:rsidR="00EB6787" w:rsidRPr="00E11D3D" w:rsidP="00E11D3D">
      <w:pPr>
        <w:rPr>
          <w:i/>
          <w:iCs/>
          <w:color w:val="1F497D"/>
        </w:rPr>
      </w:pPr>
      <w:r w:rsidRPr="00FF6059">
        <w:rPr>
          <w:rFonts w:ascii="Arial" w:hAnsi="Arial" w:cs="Arial"/>
          <w:b/>
          <w:i/>
        </w:rPr>
        <w:t>Per</w:t>
      </w:r>
      <w:r w:rsidRPr="00FF6059">
        <w:rPr>
          <w:rFonts w:ascii="Arial" w:hAnsi="Arial" w:cs="Arial"/>
          <w:b/>
          <w:i/>
        </w:rPr>
        <w:t xml:space="preserve">formance </w:t>
      </w:r>
    </w:p>
    <w:p w:rsidR="0037208F" w:rsidP="004475BE">
      <w:pPr>
        <w:jc w:val="both"/>
        <w:rPr>
          <w:rFonts w:ascii="Arial" w:hAnsi="Arial" w:cs="Arial"/>
          <w:u w:val="single"/>
        </w:rPr>
      </w:pPr>
      <w:r>
        <w:rPr>
          <w:rFonts w:ascii="Arial" w:hAnsi="Arial" w:cs="Arial"/>
          <w:u w:val="single"/>
        </w:rPr>
        <w:t xml:space="preserve">Programme </w:t>
      </w:r>
      <w:r w:rsidRPr="00FB438E">
        <w:rPr>
          <w:rFonts w:ascii="Arial" w:hAnsi="Arial" w:cs="Arial"/>
          <w:u w:val="single"/>
        </w:rPr>
        <w:t>Milestones</w:t>
      </w:r>
    </w:p>
    <w:tbl>
      <w:tblPr>
        <w:tblW w:w="9209" w:type="dxa"/>
        <w:tblCellMar>
          <w:left w:w="0" w:type="dxa"/>
          <w:right w:w="0" w:type="dxa"/>
        </w:tblCellMar>
        <w:tblLook w:val="04A0"/>
      </w:tblPr>
      <w:tblGrid>
        <w:gridCol w:w="4214"/>
        <w:gridCol w:w="1048"/>
        <w:gridCol w:w="3947"/>
      </w:tblGrid>
      <w:tr w:rsidTr="0001249A">
        <w:tblPrEx>
          <w:tblW w:w="9209" w:type="dxa"/>
          <w:tblCellMar>
            <w:left w:w="0" w:type="dxa"/>
            <w:right w:w="0" w:type="dxa"/>
          </w:tblCellMar>
          <w:tblLook w:val="04A0"/>
        </w:tblPrEx>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2B">
            <w:pPr>
              <w:pStyle w:val="NoSpacing"/>
              <w:jc w:val="both"/>
              <w:rPr>
                <w:rFonts w:ascii="Arial" w:hAnsi="Arial" w:cs="Arial"/>
                <w:b/>
                <w:bCs/>
              </w:rPr>
            </w:pPr>
            <w:r>
              <w:rPr>
                <w:rFonts w:ascii="Arial" w:hAnsi="Arial" w:cs="Arial"/>
                <w:b/>
                <w:bCs/>
              </w:rPr>
              <w:t>Milestone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2B">
            <w:pPr>
              <w:pStyle w:val="NoSpacing"/>
              <w:jc w:val="both"/>
              <w:rPr>
                <w:rFonts w:ascii="Arial" w:hAnsi="Arial" w:cs="Arial"/>
                <w:b/>
                <w:bCs/>
              </w:rPr>
            </w:pPr>
            <w:r>
              <w:rPr>
                <w:rFonts w:ascii="Arial" w:hAnsi="Arial" w:cs="Arial"/>
                <w:b/>
                <w:bCs/>
              </w:rPr>
              <w:t>Date</w:t>
            </w:r>
          </w:p>
        </w:tc>
        <w:tc>
          <w:tcPr>
            <w:tcW w:w="3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2B">
            <w:pPr>
              <w:pStyle w:val="NoSpacing"/>
              <w:jc w:val="both"/>
              <w:rPr>
                <w:rFonts w:ascii="Arial" w:hAnsi="Arial" w:cs="Arial"/>
                <w:b/>
                <w:bCs/>
              </w:rPr>
            </w:pPr>
            <w:r>
              <w:rPr>
                <w:rFonts w:ascii="Arial" w:hAnsi="Arial" w:cs="Arial"/>
                <w:b/>
                <w:bCs/>
              </w:rPr>
              <w:t>Comments</w:t>
            </w:r>
          </w:p>
        </w:tc>
      </w:tr>
      <w:tr w:rsidTr="0001249A">
        <w:tblPrEx>
          <w:tblW w:w="9209" w:type="dxa"/>
          <w:tblCellMar>
            <w:left w:w="0" w:type="dxa"/>
            <w:right w:w="0" w:type="dxa"/>
          </w:tblCellMar>
          <w:tblLook w:val="04A0"/>
        </w:tblPrEx>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2B" w:rsidP="0001249A">
            <w:pPr>
              <w:pStyle w:val="NoSpacing"/>
              <w:rPr>
                <w:rFonts w:ascii="Arial" w:hAnsi="Arial" w:cs="Arial"/>
              </w:rPr>
            </w:pPr>
            <w:r>
              <w:rPr>
                <w:rFonts w:ascii="Arial" w:hAnsi="Arial" w:cs="Arial"/>
              </w:rPr>
              <w:t>End of Year Performance Monitoring Completed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C382B" w:rsidP="0001249A">
            <w:pPr>
              <w:pStyle w:val="NoSpacing"/>
              <w:rPr>
                <w:rFonts w:ascii="Arial" w:hAnsi="Arial" w:cs="Arial"/>
              </w:rPr>
            </w:pPr>
            <w:r>
              <w:rPr>
                <w:rFonts w:ascii="Arial" w:hAnsi="Arial" w:cs="Arial"/>
              </w:rPr>
              <w:t>Ongoing</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rsidR="009C382B" w:rsidP="0001249A">
            <w:pPr>
              <w:pStyle w:val="NoSpacing"/>
              <w:rPr>
                <w:rFonts w:ascii="Arial" w:hAnsi="Arial" w:cs="Arial"/>
              </w:rPr>
            </w:pPr>
            <w:r>
              <w:rPr>
                <w:rFonts w:ascii="Arial" w:hAnsi="Arial" w:cs="Arial"/>
              </w:rPr>
              <w:t>2019/20 report delayed due to Covid.  Expected to catch up in Q4 2020/21</w:t>
            </w:r>
          </w:p>
        </w:tc>
      </w:tr>
      <w:tr w:rsidTr="0001249A">
        <w:tblPrEx>
          <w:tblW w:w="9209" w:type="dxa"/>
          <w:tblCellMar>
            <w:left w:w="0" w:type="dxa"/>
            <w:right w:w="0" w:type="dxa"/>
          </w:tblCellMar>
          <w:tblLook w:val="04A0"/>
        </w:tblPrEx>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2B" w:rsidP="0001249A">
            <w:pPr>
              <w:pStyle w:val="NoSpacing"/>
              <w:rPr>
                <w:rFonts w:ascii="Arial" w:hAnsi="Arial" w:cs="Arial"/>
              </w:rPr>
            </w:pPr>
            <w:r>
              <w:rPr>
                <w:rFonts w:ascii="Arial" w:hAnsi="Arial" w:cs="Arial"/>
              </w:rPr>
              <w:t>Quarterly Infrastructure Monitoring Completed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C382B" w:rsidP="0001249A">
            <w:pPr>
              <w:pStyle w:val="NoSpacing"/>
              <w:rPr>
                <w:rFonts w:ascii="Arial" w:hAnsi="Arial" w:cs="Arial"/>
              </w:rPr>
            </w:pPr>
            <w:r>
              <w:rPr>
                <w:rFonts w:ascii="Arial" w:hAnsi="Arial" w:cs="Arial"/>
              </w:rPr>
              <w:t>Ongoing</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rsidR="009C382B" w:rsidP="0001249A">
            <w:pPr>
              <w:pStyle w:val="NoSpacing"/>
              <w:rPr>
                <w:rFonts w:ascii="Arial" w:hAnsi="Arial" w:cs="Arial"/>
              </w:rPr>
            </w:pPr>
            <w:r>
              <w:rPr>
                <w:rFonts w:ascii="Arial" w:hAnsi="Arial" w:cs="Arial"/>
              </w:rPr>
              <w:t>Achieved</w:t>
            </w:r>
          </w:p>
        </w:tc>
      </w:tr>
      <w:tr w:rsidTr="0001249A">
        <w:tblPrEx>
          <w:tblW w:w="9209" w:type="dxa"/>
          <w:tblCellMar>
            <w:left w:w="0" w:type="dxa"/>
            <w:right w:w="0" w:type="dxa"/>
          </w:tblCellMar>
          <w:tblLook w:val="04A0"/>
        </w:tblPrEx>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382B" w:rsidP="0001249A">
            <w:pPr>
              <w:pStyle w:val="NoSpacing"/>
              <w:rPr>
                <w:rFonts w:ascii="Arial" w:hAnsi="Arial" w:cs="Arial"/>
              </w:rPr>
            </w:pPr>
            <w:r>
              <w:rPr>
                <w:rFonts w:ascii="Arial" w:hAnsi="Arial" w:cs="Arial"/>
              </w:rPr>
              <w:t>Government Returns submitted six monthly</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C382B" w:rsidP="0001249A">
            <w:pPr>
              <w:pStyle w:val="NoSpacing"/>
              <w:rPr>
                <w:rFonts w:ascii="Arial" w:hAnsi="Arial" w:cs="Arial"/>
              </w:rPr>
            </w:pPr>
            <w:r>
              <w:rPr>
                <w:rFonts w:ascii="Arial" w:hAnsi="Arial" w:cs="Arial"/>
              </w:rPr>
              <w:t>Ongoing</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rsidR="009C382B" w:rsidP="0001249A">
            <w:pPr>
              <w:pStyle w:val="NoSpacing"/>
              <w:rPr>
                <w:rFonts w:ascii="Arial" w:hAnsi="Arial" w:cs="Arial"/>
              </w:rPr>
            </w:pPr>
            <w:r>
              <w:rPr>
                <w:rFonts w:ascii="Arial" w:hAnsi="Arial" w:cs="Arial"/>
              </w:rPr>
              <w:t>2019/20 report delayed due to Covid.  Expected to catch up in Q4 2020/21</w:t>
            </w:r>
          </w:p>
        </w:tc>
      </w:tr>
      <w:tr w:rsidTr="0001249A">
        <w:tblPrEx>
          <w:tblW w:w="9209" w:type="dxa"/>
          <w:tblCellMar>
            <w:left w:w="0" w:type="dxa"/>
            <w:right w:w="0" w:type="dxa"/>
          </w:tblCellMar>
          <w:tblLook w:val="04A0"/>
        </w:tblPrEx>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382B" w:rsidP="0001249A">
            <w:pPr>
              <w:pStyle w:val="NoSpacing"/>
              <w:rPr>
                <w:rFonts w:ascii="Arial" w:hAnsi="Arial" w:cs="Arial"/>
              </w:rPr>
            </w:pPr>
            <w:r>
              <w:rPr>
                <w:rFonts w:ascii="Arial" w:hAnsi="Arial" w:cs="Arial"/>
              </w:rPr>
              <w:t>Mid Term Review Complete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C382B" w:rsidP="0001249A">
            <w:pPr>
              <w:pStyle w:val="NoSpacing"/>
              <w:rPr>
                <w:rFonts w:ascii="Arial" w:hAnsi="Arial" w:cs="Arial"/>
              </w:rPr>
            </w:pPr>
            <w:r>
              <w:rPr>
                <w:rFonts w:ascii="Arial" w:hAnsi="Arial" w:cs="Arial"/>
              </w:rPr>
              <w:t>2019</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rsidR="009C382B" w:rsidP="0001249A">
            <w:pPr>
              <w:pStyle w:val="NoSpacing"/>
              <w:rPr>
                <w:rFonts w:ascii="Arial" w:hAnsi="Arial" w:cs="Arial"/>
              </w:rPr>
            </w:pPr>
            <w:r>
              <w:rPr>
                <w:rFonts w:ascii="Arial" w:hAnsi="Arial" w:cs="Arial"/>
              </w:rPr>
              <w:t>Negotiations continuing</w:t>
            </w:r>
          </w:p>
        </w:tc>
      </w:tr>
    </w:tbl>
    <w:p w:rsidR="0001249A" w:rsidP="0001249A">
      <w:pPr>
        <w:pStyle w:val="NoSpacing"/>
      </w:pPr>
    </w:p>
    <w:p w:rsidR="00FF6059" w:rsidP="00FF6059">
      <w:pPr>
        <w:jc w:val="both"/>
        <w:rPr>
          <w:rFonts w:ascii="Arial" w:hAnsi="Arial" w:cs="Arial"/>
          <w:u w:val="single"/>
        </w:rPr>
      </w:pPr>
      <w:r w:rsidRPr="00FB438E">
        <w:rPr>
          <w:rFonts w:ascii="Arial" w:hAnsi="Arial" w:cs="Arial"/>
          <w:u w:val="single"/>
        </w:rPr>
        <w:t>Key Performance Indicators</w:t>
      </w:r>
      <w:r>
        <w:rPr>
          <w:rFonts w:ascii="Arial" w:hAnsi="Arial" w:cs="Arial"/>
          <w:u w:val="single"/>
        </w:rPr>
        <w:t xml:space="preserve"> – as at 30</w:t>
      </w:r>
      <w:r w:rsidRPr="00FB438E">
        <w:rPr>
          <w:rFonts w:ascii="Arial" w:hAnsi="Arial" w:cs="Arial"/>
          <w:u w:val="single"/>
          <w:vertAlign w:val="superscript"/>
        </w:rPr>
        <w:t>th</w:t>
      </w:r>
      <w:r>
        <w:rPr>
          <w:rFonts w:ascii="Arial" w:hAnsi="Arial" w:cs="Arial"/>
          <w:u w:val="single"/>
        </w:rPr>
        <w:t xml:space="preserve"> September 2019</w:t>
      </w:r>
    </w:p>
    <w:p w:rsidR="002C7A36" w:rsidP="002C7A36">
      <w:pPr>
        <w:jc w:val="both"/>
        <w:rPr>
          <w:rFonts w:ascii="Arial" w:hAnsi="Arial" w:cs="Arial"/>
        </w:rPr>
      </w:pPr>
      <w:r>
        <w:rPr>
          <w:rFonts w:ascii="Arial" w:hAnsi="Arial" w:cs="Arial"/>
        </w:rPr>
        <w:t>Please note:  The KPIs</w:t>
      </w:r>
      <w:r>
        <w:rPr>
          <w:rFonts w:ascii="Arial" w:hAnsi="Arial" w:cs="Arial"/>
        </w:rPr>
        <w:t xml:space="preserve"> represent the latest figures available (30 Sept 2019). This is as a result of District planning officers being unable to undertake site visits at the end of the last financial year due to the impact of Covid 19.  Site visits and data collection resumed in</w:t>
      </w:r>
      <w:r>
        <w:rPr>
          <w:rFonts w:ascii="Arial" w:hAnsi="Arial" w:cs="Arial"/>
        </w:rPr>
        <w:t xml:space="preserve"> October 2020 and updated data is expected to be available in November, which will be circulated as soon as verified in December 2020.</w:t>
      </w:r>
    </w:p>
    <w:tbl>
      <w:tblPr>
        <w:tblStyle w:val="TableGrid1"/>
        <w:tblW w:w="5186" w:type="pct"/>
        <w:tblLayout w:type="fixed"/>
        <w:tblLook w:val="04A0"/>
      </w:tblPr>
      <w:tblGrid>
        <w:gridCol w:w="562"/>
        <w:gridCol w:w="4536"/>
        <w:gridCol w:w="2410"/>
        <w:gridCol w:w="1134"/>
        <w:gridCol w:w="709"/>
      </w:tblGrid>
      <w:tr w:rsidTr="0001249A">
        <w:tblPrEx>
          <w:tblW w:w="5186" w:type="pct"/>
          <w:tblLayout w:type="fixed"/>
          <w:tblLook w:val="04A0"/>
        </w:tblPrEx>
        <w:tc>
          <w:tcPr>
            <w:tcW w:w="562" w:type="dxa"/>
          </w:tcPr>
          <w:p w:rsidR="0001688F" w:rsidP="00FB438E">
            <w:pPr>
              <w:spacing w:line="276" w:lineRule="auto"/>
              <w:jc w:val="both"/>
              <w:rPr>
                <w:rFonts w:ascii="Arial" w:hAnsi="Arial" w:cs="Arial"/>
                <w:b/>
              </w:rPr>
            </w:pPr>
          </w:p>
        </w:tc>
        <w:tc>
          <w:tcPr>
            <w:tcW w:w="4536" w:type="dxa"/>
          </w:tcPr>
          <w:p w:rsidR="0001688F" w:rsidRPr="00FF6059" w:rsidP="00FB438E">
            <w:pPr>
              <w:spacing w:line="276" w:lineRule="auto"/>
              <w:jc w:val="both"/>
              <w:rPr>
                <w:rFonts w:ascii="Arial" w:hAnsi="Arial" w:cs="Arial"/>
                <w:b/>
              </w:rPr>
            </w:pPr>
            <w:r>
              <w:rPr>
                <w:rFonts w:ascii="Arial" w:hAnsi="Arial" w:cs="Arial"/>
                <w:b/>
              </w:rPr>
              <w:t>KPI / Met</w:t>
            </w:r>
            <w:r w:rsidRPr="00FF6059">
              <w:rPr>
                <w:rFonts w:ascii="Arial" w:hAnsi="Arial" w:cs="Arial"/>
                <w:b/>
              </w:rPr>
              <w:t>rics</w:t>
            </w:r>
          </w:p>
        </w:tc>
        <w:tc>
          <w:tcPr>
            <w:tcW w:w="2410" w:type="dxa"/>
          </w:tcPr>
          <w:p w:rsidR="0001688F" w:rsidRPr="00FF6059" w:rsidP="00FB438E">
            <w:pPr>
              <w:spacing w:line="276" w:lineRule="auto"/>
              <w:jc w:val="center"/>
              <w:rPr>
                <w:rFonts w:ascii="Arial" w:hAnsi="Arial" w:cs="Arial"/>
                <w:b/>
              </w:rPr>
            </w:pPr>
            <w:r w:rsidRPr="00FF6059">
              <w:rPr>
                <w:rFonts w:ascii="Arial" w:hAnsi="Arial" w:cs="Arial"/>
                <w:b/>
              </w:rPr>
              <w:t xml:space="preserve">Actuals </w:t>
            </w:r>
          </w:p>
        </w:tc>
        <w:tc>
          <w:tcPr>
            <w:tcW w:w="1134" w:type="dxa"/>
          </w:tcPr>
          <w:p w:rsidR="0001688F" w:rsidRPr="00FF6059" w:rsidP="00A46EAE">
            <w:pPr>
              <w:spacing w:line="276" w:lineRule="auto"/>
              <w:jc w:val="center"/>
              <w:rPr>
                <w:rFonts w:ascii="Arial" w:hAnsi="Arial" w:cs="Arial"/>
                <w:b/>
              </w:rPr>
            </w:pPr>
            <w:r w:rsidRPr="00FF6059">
              <w:rPr>
                <w:rFonts w:ascii="Arial" w:hAnsi="Arial" w:cs="Arial"/>
                <w:b/>
              </w:rPr>
              <w:t>Target</w:t>
            </w:r>
          </w:p>
        </w:tc>
        <w:tc>
          <w:tcPr>
            <w:tcW w:w="709" w:type="dxa"/>
          </w:tcPr>
          <w:p w:rsidR="0001688F" w:rsidRPr="00FF6059" w:rsidP="00A46EAE">
            <w:pPr>
              <w:spacing w:line="276" w:lineRule="auto"/>
              <w:jc w:val="center"/>
              <w:rPr>
                <w:rFonts w:ascii="Arial" w:hAnsi="Arial" w:cs="Arial"/>
                <w:b/>
              </w:rPr>
            </w:pPr>
            <w:r>
              <w:rPr>
                <w:rFonts w:ascii="Arial" w:hAnsi="Arial" w:cs="Arial"/>
                <w:b/>
              </w:rPr>
              <w:t>RAG</w:t>
            </w:r>
          </w:p>
        </w:tc>
      </w:tr>
      <w:tr w:rsidTr="0001249A">
        <w:tblPrEx>
          <w:tblW w:w="5186" w:type="pct"/>
          <w:tblLayout w:type="fixed"/>
          <w:tblLook w:val="04A0"/>
        </w:tblPrEx>
        <w:tc>
          <w:tcPr>
            <w:tcW w:w="562" w:type="dxa"/>
          </w:tcPr>
          <w:p w:rsidR="0001688F" w:rsidRPr="00FF6059" w:rsidP="00A46EAE">
            <w:pPr>
              <w:spacing w:line="276" w:lineRule="auto"/>
              <w:jc w:val="both"/>
              <w:rPr>
                <w:rFonts w:ascii="Arial" w:hAnsi="Arial" w:cs="Arial"/>
              </w:rPr>
            </w:pPr>
            <w:r>
              <w:rPr>
                <w:rFonts w:ascii="Arial" w:hAnsi="Arial" w:cs="Arial"/>
              </w:rPr>
              <w:t>1</w:t>
            </w:r>
          </w:p>
        </w:tc>
        <w:tc>
          <w:tcPr>
            <w:tcW w:w="4536" w:type="dxa"/>
          </w:tcPr>
          <w:p w:rsidR="0001688F" w:rsidRPr="00FF6059" w:rsidP="0001249A">
            <w:pPr>
              <w:spacing w:line="276" w:lineRule="auto"/>
              <w:rPr>
                <w:rFonts w:ascii="Arial" w:hAnsi="Arial" w:cs="Arial"/>
              </w:rPr>
            </w:pPr>
            <w:r w:rsidRPr="00FF6059">
              <w:rPr>
                <w:rFonts w:ascii="Arial" w:hAnsi="Arial" w:cs="Arial"/>
              </w:rPr>
              <w:t xml:space="preserve">Total number of Housing units completed </w:t>
            </w:r>
          </w:p>
        </w:tc>
        <w:tc>
          <w:tcPr>
            <w:tcW w:w="2410"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5474</w:t>
            </w:r>
          </w:p>
        </w:tc>
        <w:tc>
          <w:tcPr>
            <w:tcW w:w="1134"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17,420</w:t>
            </w:r>
          </w:p>
        </w:tc>
        <w:tc>
          <w:tcPr>
            <w:tcW w:w="709" w:type="dxa"/>
            <w:shd w:val="clear" w:color="auto" w:fill="FFC000" w:themeFill="accent4"/>
          </w:tcPr>
          <w:p w:rsidR="0001688F" w:rsidRPr="00FF6059" w:rsidP="00A46EAE">
            <w:pPr>
              <w:tabs>
                <w:tab w:val="left" w:pos="885"/>
              </w:tabs>
              <w:spacing w:line="276" w:lineRule="auto"/>
              <w:jc w:val="center"/>
              <w:rPr>
                <w:rFonts w:ascii="Arial" w:hAnsi="Arial" w:cs="Arial"/>
              </w:rPr>
            </w:pPr>
          </w:p>
        </w:tc>
      </w:tr>
      <w:tr w:rsidTr="0001249A">
        <w:tblPrEx>
          <w:tblW w:w="5186" w:type="pct"/>
          <w:tblLayout w:type="fixed"/>
          <w:tblLook w:val="04A0"/>
        </w:tblPrEx>
        <w:tc>
          <w:tcPr>
            <w:tcW w:w="562" w:type="dxa"/>
          </w:tcPr>
          <w:p w:rsidR="0001688F" w:rsidRPr="00FF6059" w:rsidP="00A46EAE">
            <w:pPr>
              <w:spacing w:line="276" w:lineRule="auto"/>
              <w:rPr>
                <w:rFonts w:ascii="Arial" w:hAnsi="Arial" w:cs="Arial"/>
              </w:rPr>
            </w:pPr>
            <w:r>
              <w:rPr>
                <w:rFonts w:ascii="Arial" w:hAnsi="Arial" w:cs="Arial"/>
              </w:rPr>
              <w:t>2</w:t>
            </w:r>
          </w:p>
        </w:tc>
        <w:tc>
          <w:tcPr>
            <w:tcW w:w="4536" w:type="dxa"/>
          </w:tcPr>
          <w:p w:rsidR="0001688F" w:rsidRPr="00FF6059" w:rsidP="00770AC9">
            <w:pPr>
              <w:spacing w:line="276" w:lineRule="auto"/>
              <w:rPr>
                <w:rFonts w:ascii="Arial" w:hAnsi="Arial" w:cs="Arial"/>
              </w:rPr>
            </w:pPr>
            <w:r w:rsidRPr="00FF6059">
              <w:rPr>
                <w:rFonts w:ascii="Arial" w:hAnsi="Arial" w:cs="Arial"/>
              </w:rPr>
              <w:t xml:space="preserve">Number of Housing units - Planning Consented </w:t>
            </w:r>
          </w:p>
        </w:tc>
        <w:tc>
          <w:tcPr>
            <w:tcW w:w="2410" w:type="dxa"/>
          </w:tcPr>
          <w:p w:rsidR="0001688F" w:rsidP="00A46EAE">
            <w:pPr>
              <w:spacing w:line="276" w:lineRule="auto"/>
              <w:jc w:val="center"/>
              <w:rPr>
                <w:rFonts w:ascii="Arial" w:hAnsi="Arial" w:cs="Arial"/>
              </w:rPr>
            </w:pPr>
            <w:r w:rsidRPr="00FF6059">
              <w:rPr>
                <w:rFonts w:ascii="Arial" w:hAnsi="Arial" w:cs="Arial"/>
              </w:rPr>
              <w:t xml:space="preserve">13,966 </w:t>
            </w:r>
          </w:p>
          <w:p w:rsidR="0001688F" w:rsidRPr="0001249A" w:rsidP="0001249A">
            <w:pPr>
              <w:spacing w:line="276" w:lineRule="auto"/>
              <w:jc w:val="center"/>
              <w:rPr>
                <w:rFonts w:ascii="Arial" w:hAnsi="Arial" w:cs="Arial"/>
                <w:sz w:val="20"/>
                <w:szCs w:val="20"/>
              </w:rPr>
            </w:pPr>
            <w:r w:rsidRPr="0001249A">
              <w:rPr>
                <w:rFonts w:ascii="Arial" w:hAnsi="Arial" w:cs="Arial"/>
                <w:sz w:val="20"/>
                <w:szCs w:val="20"/>
              </w:rPr>
              <w:t>(11,144 City Deal sites)</w:t>
            </w:r>
          </w:p>
        </w:tc>
        <w:tc>
          <w:tcPr>
            <w:tcW w:w="1134" w:type="dxa"/>
          </w:tcPr>
          <w:p w:rsidR="0001688F" w:rsidRPr="00FF6059" w:rsidP="00A46EAE">
            <w:pPr>
              <w:spacing w:line="276" w:lineRule="auto"/>
              <w:jc w:val="center"/>
              <w:rPr>
                <w:rFonts w:ascii="Arial" w:hAnsi="Arial" w:cs="Arial"/>
              </w:rPr>
            </w:pPr>
            <w:r>
              <w:rPr>
                <w:rFonts w:ascii="Arial" w:hAnsi="Arial" w:cs="Arial"/>
              </w:rPr>
              <w:t>17,420</w:t>
            </w:r>
          </w:p>
        </w:tc>
        <w:tc>
          <w:tcPr>
            <w:tcW w:w="709" w:type="dxa"/>
            <w:shd w:val="clear" w:color="auto" w:fill="70AD47" w:themeFill="accent6"/>
          </w:tcPr>
          <w:p w:rsidR="0001688F" w:rsidRPr="00FF6059" w:rsidP="00A46EAE">
            <w:pPr>
              <w:spacing w:line="276" w:lineRule="auto"/>
              <w:jc w:val="center"/>
              <w:rPr>
                <w:rFonts w:ascii="Arial" w:hAnsi="Arial" w:cs="Arial"/>
              </w:rPr>
            </w:pPr>
          </w:p>
        </w:tc>
      </w:tr>
      <w:tr w:rsidTr="0001249A">
        <w:tblPrEx>
          <w:tblW w:w="5186" w:type="pct"/>
          <w:tblLayout w:type="fixed"/>
          <w:tblLook w:val="04A0"/>
        </w:tblPrEx>
        <w:tc>
          <w:tcPr>
            <w:tcW w:w="562" w:type="dxa"/>
          </w:tcPr>
          <w:p w:rsidR="0001688F" w:rsidRPr="00FF6059" w:rsidP="00A46EAE">
            <w:pPr>
              <w:spacing w:line="276" w:lineRule="auto"/>
              <w:rPr>
                <w:rFonts w:ascii="Arial" w:hAnsi="Arial" w:cs="Arial"/>
              </w:rPr>
            </w:pPr>
            <w:r>
              <w:rPr>
                <w:rFonts w:ascii="Arial" w:hAnsi="Arial" w:cs="Arial"/>
              </w:rPr>
              <w:t>3</w:t>
            </w:r>
          </w:p>
        </w:tc>
        <w:tc>
          <w:tcPr>
            <w:tcW w:w="4536" w:type="dxa"/>
          </w:tcPr>
          <w:p w:rsidR="0001688F" w:rsidRPr="00FF6059" w:rsidP="00770AC9">
            <w:pPr>
              <w:spacing w:line="276" w:lineRule="auto"/>
              <w:rPr>
                <w:rFonts w:ascii="Arial" w:hAnsi="Arial" w:cs="Arial"/>
              </w:rPr>
            </w:pPr>
            <w:r w:rsidRPr="00FF6059">
              <w:rPr>
                <w:rFonts w:ascii="Arial" w:hAnsi="Arial" w:cs="Arial"/>
              </w:rPr>
              <w:t>Commercial floorspace completed (sqm)</w:t>
            </w:r>
          </w:p>
        </w:tc>
        <w:tc>
          <w:tcPr>
            <w:tcW w:w="2410"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78,511</w:t>
            </w:r>
          </w:p>
        </w:tc>
        <w:tc>
          <w:tcPr>
            <w:tcW w:w="1134" w:type="dxa"/>
          </w:tcPr>
          <w:p w:rsidR="0001688F" w:rsidRPr="00FF6059" w:rsidP="00A46EAE">
            <w:pPr>
              <w:tabs>
                <w:tab w:val="left" w:pos="885"/>
              </w:tabs>
              <w:spacing w:line="276" w:lineRule="auto"/>
              <w:jc w:val="center"/>
              <w:rPr>
                <w:rFonts w:ascii="Arial" w:hAnsi="Arial" w:cs="Arial"/>
              </w:rPr>
            </w:pPr>
            <w:r>
              <w:rPr>
                <w:rFonts w:ascii="Arial" w:hAnsi="Arial" w:cs="Arial"/>
              </w:rPr>
              <w:t>441,657</w:t>
            </w:r>
          </w:p>
        </w:tc>
        <w:tc>
          <w:tcPr>
            <w:tcW w:w="709" w:type="dxa"/>
            <w:shd w:val="clear" w:color="auto" w:fill="FFC000" w:themeFill="accent4"/>
          </w:tcPr>
          <w:p w:rsidR="0001688F" w:rsidRPr="00FF6059" w:rsidP="00A46EAE">
            <w:pPr>
              <w:tabs>
                <w:tab w:val="left" w:pos="885"/>
              </w:tabs>
              <w:spacing w:line="276" w:lineRule="auto"/>
              <w:jc w:val="center"/>
              <w:rPr>
                <w:rFonts w:ascii="Arial" w:hAnsi="Arial" w:cs="Arial"/>
              </w:rPr>
            </w:pPr>
          </w:p>
        </w:tc>
      </w:tr>
      <w:tr w:rsidTr="0001249A">
        <w:tblPrEx>
          <w:tblW w:w="5186" w:type="pct"/>
          <w:tblLayout w:type="fixed"/>
          <w:tblLook w:val="04A0"/>
        </w:tblPrEx>
        <w:tc>
          <w:tcPr>
            <w:tcW w:w="562" w:type="dxa"/>
          </w:tcPr>
          <w:p w:rsidR="0001688F" w:rsidRPr="00FF6059" w:rsidP="00A46EAE">
            <w:pPr>
              <w:spacing w:line="276" w:lineRule="auto"/>
              <w:jc w:val="both"/>
              <w:rPr>
                <w:rFonts w:ascii="Arial" w:hAnsi="Arial" w:cs="Arial"/>
              </w:rPr>
            </w:pPr>
            <w:r>
              <w:rPr>
                <w:rFonts w:ascii="Arial" w:hAnsi="Arial" w:cs="Arial"/>
              </w:rPr>
              <w:t>4</w:t>
            </w:r>
          </w:p>
        </w:tc>
        <w:tc>
          <w:tcPr>
            <w:tcW w:w="4536" w:type="dxa"/>
          </w:tcPr>
          <w:p w:rsidR="0001688F" w:rsidRPr="00FF6059" w:rsidP="00770AC9">
            <w:pPr>
              <w:spacing w:line="276" w:lineRule="auto"/>
              <w:rPr>
                <w:rFonts w:ascii="Arial" w:hAnsi="Arial" w:cs="Arial"/>
              </w:rPr>
            </w:pPr>
            <w:r w:rsidRPr="00FF6059">
              <w:rPr>
                <w:rFonts w:ascii="Arial" w:hAnsi="Arial" w:cs="Arial"/>
              </w:rPr>
              <w:t>Jobs created or safeguarded (includes jobs associated; with new commercial floorspace, to capital investment,</w:t>
            </w:r>
            <w:r w:rsidRPr="00FF6059">
              <w:rPr>
                <w:rFonts w:ascii="Arial" w:hAnsi="Arial" w:cs="Arial"/>
              </w:rPr>
              <w:t xml:space="preserve"> with lettings at existing premises and jobs created through BOOST.</w:t>
            </w:r>
          </w:p>
        </w:tc>
        <w:tc>
          <w:tcPr>
            <w:tcW w:w="2410"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15,268</w:t>
            </w:r>
          </w:p>
        </w:tc>
        <w:tc>
          <w:tcPr>
            <w:tcW w:w="1134"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20,000</w:t>
            </w:r>
          </w:p>
        </w:tc>
        <w:tc>
          <w:tcPr>
            <w:tcW w:w="709" w:type="dxa"/>
            <w:shd w:val="clear" w:color="auto" w:fill="FFC000"/>
          </w:tcPr>
          <w:p w:rsidR="0001688F" w:rsidRPr="00FF6059" w:rsidP="00A46EAE">
            <w:pPr>
              <w:tabs>
                <w:tab w:val="left" w:pos="885"/>
              </w:tabs>
              <w:spacing w:line="276" w:lineRule="auto"/>
              <w:jc w:val="center"/>
              <w:rPr>
                <w:rFonts w:ascii="Arial" w:hAnsi="Arial" w:cs="Arial"/>
              </w:rPr>
            </w:pPr>
          </w:p>
        </w:tc>
      </w:tr>
      <w:tr w:rsidTr="0001249A">
        <w:tblPrEx>
          <w:tblW w:w="5186" w:type="pct"/>
          <w:tblLayout w:type="fixed"/>
          <w:tblLook w:val="04A0"/>
        </w:tblPrEx>
        <w:tc>
          <w:tcPr>
            <w:tcW w:w="562" w:type="dxa"/>
          </w:tcPr>
          <w:p w:rsidR="0001688F" w:rsidRPr="00FF6059" w:rsidP="00A46EAE">
            <w:pPr>
              <w:spacing w:line="276" w:lineRule="auto"/>
              <w:rPr>
                <w:rFonts w:ascii="Arial" w:hAnsi="Arial" w:cs="Arial"/>
              </w:rPr>
            </w:pPr>
            <w:r>
              <w:rPr>
                <w:rFonts w:ascii="Arial" w:hAnsi="Arial" w:cs="Arial"/>
              </w:rPr>
              <w:t>5</w:t>
            </w:r>
          </w:p>
        </w:tc>
        <w:tc>
          <w:tcPr>
            <w:tcW w:w="4536" w:type="dxa"/>
          </w:tcPr>
          <w:p w:rsidR="0001688F" w:rsidRPr="00FF6059" w:rsidP="00770AC9">
            <w:pPr>
              <w:spacing w:line="276" w:lineRule="auto"/>
              <w:rPr>
                <w:rFonts w:ascii="Arial" w:hAnsi="Arial" w:cs="Arial"/>
              </w:rPr>
            </w:pPr>
            <w:r w:rsidRPr="00FF6059">
              <w:rPr>
                <w:rFonts w:ascii="Arial" w:hAnsi="Arial" w:cs="Arial"/>
              </w:rPr>
              <w:t>Public Sector Investment (£m)</w:t>
            </w:r>
          </w:p>
        </w:tc>
        <w:tc>
          <w:tcPr>
            <w:tcW w:w="2410" w:type="dxa"/>
          </w:tcPr>
          <w:p w:rsidR="0001688F" w:rsidRPr="00FF6059" w:rsidP="00A46EAE">
            <w:pPr>
              <w:tabs>
                <w:tab w:val="left" w:pos="885"/>
              </w:tabs>
              <w:spacing w:line="276" w:lineRule="auto"/>
              <w:jc w:val="center"/>
              <w:rPr>
                <w:rFonts w:ascii="Arial" w:hAnsi="Arial" w:cs="Arial"/>
              </w:rPr>
            </w:pPr>
            <w:r>
              <w:rPr>
                <w:rFonts w:ascii="Arial" w:hAnsi="Arial" w:cs="Arial"/>
              </w:rPr>
              <w:t>£</w:t>
            </w:r>
            <w:r w:rsidRPr="00FF6059">
              <w:rPr>
                <w:rFonts w:ascii="Arial" w:hAnsi="Arial" w:cs="Arial"/>
              </w:rPr>
              <w:t>109</w:t>
            </w:r>
          </w:p>
        </w:tc>
        <w:tc>
          <w:tcPr>
            <w:tcW w:w="1134" w:type="dxa"/>
            <w:shd w:val="clear" w:color="auto" w:fill="auto"/>
          </w:tcPr>
          <w:p w:rsidR="0001688F" w:rsidRPr="00FF6059" w:rsidP="00A46EAE">
            <w:pPr>
              <w:tabs>
                <w:tab w:val="left" w:pos="885"/>
              </w:tabs>
              <w:spacing w:line="276" w:lineRule="auto"/>
              <w:jc w:val="center"/>
              <w:rPr>
                <w:rFonts w:ascii="Arial" w:hAnsi="Arial" w:cs="Arial"/>
              </w:rPr>
            </w:pPr>
            <w:r>
              <w:rPr>
                <w:rFonts w:ascii="Arial" w:hAnsi="Arial" w:cs="Arial"/>
              </w:rPr>
              <w:t>£</w:t>
            </w:r>
            <w:r w:rsidRPr="00FF6059">
              <w:rPr>
                <w:rFonts w:ascii="Arial" w:hAnsi="Arial" w:cs="Arial"/>
              </w:rPr>
              <w:t>342</w:t>
            </w:r>
          </w:p>
        </w:tc>
        <w:tc>
          <w:tcPr>
            <w:tcW w:w="709" w:type="dxa"/>
            <w:shd w:val="clear" w:color="auto" w:fill="FFC000" w:themeFill="accent4"/>
          </w:tcPr>
          <w:p w:rsidR="0001688F" w:rsidRPr="00FF6059" w:rsidP="00A46EAE">
            <w:pPr>
              <w:tabs>
                <w:tab w:val="left" w:pos="885"/>
              </w:tabs>
              <w:spacing w:line="276" w:lineRule="auto"/>
              <w:jc w:val="center"/>
              <w:rPr>
                <w:rFonts w:ascii="Arial" w:hAnsi="Arial" w:cs="Arial"/>
              </w:rPr>
            </w:pPr>
          </w:p>
        </w:tc>
      </w:tr>
      <w:tr w:rsidTr="0001249A">
        <w:tblPrEx>
          <w:tblW w:w="5186" w:type="pct"/>
          <w:tblLayout w:type="fixed"/>
          <w:tblLook w:val="04A0"/>
        </w:tblPrEx>
        <w:tc>
          <w:tcPr>
            <w:tcW w:w="562" w:type="dxa"/>
          </w:tcPr>
          <w:p w:rsidR="0001688F" w:rsidRPr="00FF6059" w:rsidP="00A46EAE">
            <w:pPr>
              <w:spacing w:line="276" w:lineRule="auto"/>
              <w:rPr>
                <w:rFonts w:ascii="Arial" w:hAnsi="Arial" w:cs="Arial"/>
              </w:rPr>
            </w:pPr>
            <w:r>
              <w:rPr>
                <w:rFonts w:ascii="Arial" w:hAnsi="Arial" w:cs="Arial"/>
              </w:rPr>
              <w:t>6</w:t>
            </w:r>
          </w:p>
        </w:tc>
        <w:tc>
          <w:tcPr>
            <w:tcW w:w="4536" w:type="dxa"/>
          </w:tcPr>
          <w:p w:rsidR="0001688F" w:rsidRPr="00FF6059" w:rsidP="00770AC9">
            <w:pPr>
              <w:spacing w:line="276" w:lineRule="auto"/>
              <w:rPr>
                <w:rFonts w:ascii="Arial" w:hAnsi="Arial" w:cs="Arial"/>
              </w:rPr>
            </w:pPr>
            <w:r w:rsidRPr="00FF6059">
              <w:rPr>
                <w:rFonts w:ascii="Arial" w:hAnsi="Arial" w:cs="Arial"/>
              </w:rPr>
              <w:t>Private Sector investment (£m)</w:t>
            </w:r>
          </w:p>
        </w:tc>
        <w:tc>
          <w:tcPr>
            <w:tcW w:w="2410" w:type="dxa"/>
          </w:tcPr>
          <w:p w:rsidR="0001688F" w:rsidRPr="00FF6059" w:rsidP="00A46EAE">
            <w:pPr>
              <w:tabs>
                <w:tab w:val="left" w:pos="885"/>
              </w:tabs>
              <w:spacing w:line="276" w:lineRule="auto"/>
              <w:jc w:val="center"/>
              <w:rPr>
                <w:rFonts w:ascii="Arial" w:hAnsi="Arial" w:cs="Arial"/>
              </w:rPr>
            </w:pPr>
            <w:r>
              <w:rPr>
                <w:rFonts w:ascii="Arial" w:hAnsi="Arial" w:cs="Arial"/>
              </w:rPr>
              <w:t>£</w:t>
            </w:r>
            <w:r w:rsidRPr="00FF6059">
              <w:rPr>
                <w:rFonts w:ascii="Arial" w:hAnsi="Arial" w:cs="Arial"/>
              </w:rPr>
              <w:t>21</w:t>
            </w:r>
          </w:p>
        </w:tc>
        <w:tc>
          <w:tcPr>
            <w:tcW w:w="1134" w:type="dxa"/>
            <w:shd w:val="clear" w:color="auto" w:fill="auto"/>
          </w:tcPr>
          <w:p w:rsidR="0001688F" w:rsidRPr="00FF6059" w:rsidP="00A46EAE">
            <w:pPr>
              <w:tabs>
                <w:tab w:val="left" w:pos="885"/>
              </w:tabs>
              <w:spacing w:line="276" w:lineRule="auto"/>
              <w:jc w:val="center"/>
              <w:rPr>
                <w:rFonts w:ascii="Arial" w:hAnsi="Arial" w:cs="Arial"/>
              </w:rPr>
            </w:pPr>
            <w:r>
              <w:rPr>
                <w:rFonts w:ascii="Arial" w:hAnsi="Arial" w:cs="Arial"/>
              </w:rPr>
              <w:t>£</w:t>
            </w:r>
            <w:r w:rsidRPr="00FF6059">
              <w:rPr>
                <w:rFonts w:ascii="Arial" w:hAnsi="Arial" w:cs="Arial"/>
              </w:rPr>
              <w:t>82</w:t>
            </w:r>
          </w:p>
        </w:tc>
        <w:tc>
          <w:tcPr>
            <w:tcW w:w="709" w:type="dxa"/>
            <w:shd w:val="clear" w:color="auto" w:fill="FFC000"/>
          </w:tcPr>
          <w:p w:rsidR="0001688F" w:rsidRPr="00FF6059" w:rsidP="00A46EAE">
            <w:pPr>
              <w:tabs>
                <w:tab w:val="left" w:pos="885"/>
              </w:tabs>
              <w:spacing w:line="276" w:lineRule="auto"/>
              <w:jc w:val="center"/>
              <w:rPr>
                <w:rFonts w:ascii="Arial" w:hAnsi="Arial" w:cs="Arial"/>
              </w:rPr>
            </w:pPr>
          </w:p>
        </w:tc>
      </w:tr>
      <w:tr w:rsidTr="0001249A">
        <w:tblPrEx>
          <w:tblW w:w="5186" w:type="pct"/>
          <w:tblLayout w:type="fixed"/>
          <w:tblLook w:val="04A0"/>
        </w:tblPrEx>
        <w:tc>
          <w:tcPr>
            <w:tcW w:w="562" w:type="dxa"/>
          </w:tcPr>
          <w:p w:rsidR="0001688F" w:rsidRPr="00FF6059" w:rsidP="00A46EAE">
            <w:pPr>
              <w:spacing w:line="276" w:lineRule="auto"/>
              <w:rPr>
                <w:rFonts w:ascii="Arial" w:hAnsi="Arial" w:cs="Arial"/>
              </w:rPr>
            </w:pPr>
            <w:r>
              <w:rPr>
                <w:rFonts w:ascii="Arial" w:hAnsi="Arial" w:cs="Arial"/>
              </w:rPr>
              <w:t>7</w:t>
            </w:r>
          </w:p>
        </w:tc>
        <w:tc>
          <w:tcPr>
            <w:tcW w:w="4536" w:type="dxa"/>
          </w:tcPr>
          <w:p w:rsidR="0001688F" w:rsidRPr="00FF6059" w:rsidP="00770AC9">
            <w:pPr>
              <w:spacing w:line="276" w:lineRule="auto"/>
              <w:rPr>
                <w:rFonts w:ascii="Arial" w:hAnsi="Arial" w:cs="Arial"/>
              </w:rPr>
            </w:pPr>
            <w:r w:rsidRPr="00FF6059">
              <w:rPr>
                <w:rFonts w:ascii="Arial" w:hAnsi="Arial" w:cs="Arial"/>
              </w:rPr>
              <w:t xml:space="preserve">Construction of Broughton Bypass </w:t>
            </w:r>
          </w:p>
        </w:tc>
        <w:tc>
          <w:tcPr>
            <w:tcW w:w="2410"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Complete</w:t>
            </w:r>
          </w:p>
        </w:tc>
        <w:tc>
          <w:tcPr>
            <w:tcW w:w="1134"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w:t>
            </w:r>
          </w:p>
        </w:tc>
        <w:tc>
          <w:tcPr>
            <w:tcW w:w="709" w:type="dxa"/>
            <w:shd w:val="clear" w:color="auto" w:fill="70AD47" w:themeFill="accent6"/>
          </w:tcPr>
          <w:p w:rsidR="0001688F" w:rsidRPr="00FF6059" w:rsidP="00A46EAE">
            <w:pPr>
              <w:tabs>
                <w:tab w:val="left" w:pos="885"/>
              </w:tabs>
              <w:spacing w:line="276" w:lineRule="auto"/>
              <w:jc w:val="center"/>
              <w:rPr>
                <w:rFonts w:ascii="Arial" w:hAnsi="Arial" w:cs="Arial"/>
              </w:rPr>
            </w:pPr>
          </w:p>
        </w:tc>
      </w:tr>
      <w:tr w:rsidTr="0001249A">
        <w:tblPrEx>
          <w:tblW w:w="5186" w:type="pct"/>
          <w:tblLayout w:type="fixed"/>
          <w:tblLook w:val="04A0"/>
        </w:tblPrEx>
        <w:tc>
          <w:tcPr>
            <w:tcW w:w="562" w:type="dxa"/>
          </w:tcPr>
          <w:p w:rsidR="0001688F" w:rsidRPr="00FF6059" w:rsidP="00A46EAE">
            <w:pPr>
              <w:spacing w:line="276" w:lineRule="auto"/>
              <w:rPr>
                <w:rFonts w:ascii="Arial" w:hAnsi="Arial" w:cs="Arial"/>
              </w:rPr>
            </w:pPr>
            <w:r>
              <w:rPr>
                <w:rFonts w:ascii="Arial" w:hAnsi="Arial" w:cs="Arial"/>
              </w:rPr>
              <w:t>8</w:t>
            </w:r>
          </w:p>
        </w:tc>
        <w:tc>
          <w:tcPr>
            <w:tcW w:w="4536" w:type="dxa"/>
          </w:tcPr>
          <w:p w:rsidR="0001688F" w:rsidRPr="00FF6059" w:rsidP="00770AC9">
            <w:pPr>
              <w:spacing w:line="276" w:lineRule="auto"/>
              <w:rPr>
                <w:rFonts w:ascii="Arial" w:hAnsi="Arial" w:cs="Arial"/>
              </w:rPr>
            </w:pPr>
            <w:r w:rsidRPr="00FF6059">
              <w:rPr>
                <w:rFonts w:ascii="Arial" w:hAnsi="Arial" w:cs="Arial"/>
              </w:rPr>
              <w:t xml:space="preserve">Construction of Preston Western </w:t>
            </w:r>
            <w:r w:rsidRPr="00FF6059">
              <w:rPr>
                <w:rFonts w:ascii="Arial" w:hAnsi="Arial" w:cs="Arial"/>
              </w:rPr>
              <w:t>Distributor</w:t>
            </w:r>
          </w:p>
        </w:tc>
        <w:tc>
          <w:tcPr>
            <w:tcW w:w="2410"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Under Construction</w:t>
            </w:r>
          </w:p>
        </w:tc>
        <w:tc>
          <w:tcPr>
            <w:tcW w:w="1134"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w:t>
            </w:r>
          </w:p>
        </w:tc>
        <w:tc>
          <w:tcPr>
            <w:tcW w:w="709" w:type="dxa"/>
            <w:shd w:val="clear" w:color="auto" w:fill="FFC000"/>
          </w:tcPr>
          <w:p w:rsidR="0001688F" w:rsidRPr="00FF6059" w:rsidP="00A46EAE">
            <w:pPr>
              <w:tabs>
                <w:tab w:val="left" w:pos="885"/>
              </w:tabs>
              <w:spacing w:line="276" w:lineRule="auto"/>
              <w:jc w:val="center"/>
              <w:rPr>
                <w:rFonts w:ascii="Arial" w:hAnsi="Arial" w:cs="Arial"/>
              </w:rPr>
            </w:pPr>
          </w:p>
        </w:tc>
      </w:tr>
      <w:tr w:rsidTr="0001249A">
        <w:tblPrEx>
          <w:tblW w:w="5186" w:type="pct"/>
          <w:tblLayout w:type="fixed"/>
          <w:tblLook w:val="04A0"/>
        </w:tblPrEx>
        <w:tc>
          <w:tcPr>
            <w:tcW w:w="562" w:type="dxa"/>
          </w:tcPr>
          <w:p w:rsidR="0001688F" w:rsidRPr="00FF6059" w:rsidP="00A46EAE">
            <w:pPr>
              <w:spacing w:line="276" w:lineRule="auto"/>
              <w:rPr>
                <w:rFonts w:ascii="Arial" w:hAnsi="Arial" w:cs="Arial"/>
              </w:rPr>
            </w:pPr>
            <w:r>
              <w:rPr>
                <w:rFonts w:ascii="Arial" w:hAnsi="Arial" w:cs="Arial"/>
              </w:rPr>
              <w:t>9</w:t>
            </w:r>
          </w:p>
        </w:tc>
        <w:tc>
          <w:tcPr>
            <w:tcW w:w="4536" w:type="dxa"/>
          </w:tcPr>
          <w:p w:rsidR="0001688F" w:rsidRPr="00FF6059" w:rsidP="00770AC9">
            <w:pPr>
              <w:spacing w:line="276" w:lineRule="auto"/>
              <w:rPr>
                <w:rFonts w:ascii="Arial" w:hAnsi="Arial" w:cs="Arial"/>
              </w:rPr>
            </w:pPr>
            <w:r w:rsidRPr="00FF6059">
              <w:rPr>
                <w:rFonts w:ascii="Arial" w:hAnsi="Arial" w:cs="Arial"/>
              </w:rPr>
              <w:t>Construction of Penwortham Bypass</w:t>
            </w:r>
          </w:p>
        </w:tc>
        <w:tc>
          <w:tcPr>
            <w:tcW w:w="2410"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Complete</w:t>
            </w:r>
          </w:p>
        </w:tc>
        <w:tc>
          <w:tcPr>
            <w:tcW w:w="1134"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w:t>
            </w:r>
          </w:p>
        </w:tc>
        <w:tc>
          <w:tcPr>
            <w:tcW w:w="709" w:type="dxa"/>
            <w:shd w:val="clear" w:color="auto" w:fill="70AD47" w:themeFill="accent6"/>
          </w:tcPr>
          <w:p w:rsidR="0001688F" w:rsidRPr="00FF6059" w:rsidP="00A46EAE">
            <w:pPr>
              <w:tabs>
                <w:tab w:val="left" w:pos="885"/>
              </w:tabs>
              <w:spacing w:line="276" w:lineRule="auto"/>
              <w:jc w:val="center"/>
              <w:rPr>
                <w:rFonts w:ascii="Arial" w:hAnsi="Arial" w:cs="Arial"/>
              </w:rPr>
            </w:pPr>
          </w:p>
        </w:tc>
      </w:tr>
      <w:tr w:rsidTr="0001249A">
        <w:tblPrEx>
          <w:tblW w:w="5186" w:type="pct"/>
          <w:tblLayout w:type="fixed"/>
          <w:tblLook w:val="04A0"/>
        </w:tblPrEx>
        <w:tc>
          <w:tcPr>
            <w:tcW w:w="562" w:type="dxa"/>
          </w:tcPr>
          <w:p w:rsidR="0001688F" w:rsidRPr="00FF6059" w:rsidP="00A46EAE">
            <w:pPr>
              <w:spacing w:line="276" w:lineRule="auto"/>
              <w:rPr>
                <w:rFonts w:ascii="Arial" w:hAnsi="Arial" w:cs="Arial"/>
              </w:rPr>
            </w:pPr>
            <w:r>
              <w:rPr>
                <w:rFonts w:ascii="Arial" w:hAnsi="Arial" w:cs="Arial"/>
              </w:rPr>
              <w:t>10</w:t>
            </w:r>
          </w:p>
        </w:tc>
        <w:tc>
          <w:tcPr>
            <w:tcW w:w="4536" w:type="dxa"/>
          </w:tcPr>
          <w:p w:rsidR="0001688F" w:rsidRPr="00FF6059" w:rsidP="00770AC9">
            <w:pPr>
              <w:spacing w:line="276" w:lineRule="auto"/>
              <w:rPr>
                <w:rFonts w:ascii="Arial" w:hAnsi="Arial" w:cs="Arial"/>
              </w:rPr>
            </w:pPr>
            <w:r w:rsidRPr="00FF6059">
              <w:rPr>
                <w:rFonts w:ascii="Arial" w:hAnsi="Arial" w:cs="Arial"/>
              </w:rPr>
              <w:t>Widening of A582 South Ribble Western Distributor</w:t>
            </w:r>
          </w:p>
        </w:tc>
        <w:tc>
          <w:tcPr>
            <w:tcW w:w="2410"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 xml:space="preserve">At planning, design and land assembly stage - Junctions </w:t>
            </w:r>
            <w:r w:rsidRPr="00FF6059">
              <w:rPr>
                <w:rFonts w:ascii="Arial" w:hAnsi="Arial" w:cs="Arial"/>
              </w:rPr>
              <w:t xml:space="preserve">complete. Widening of phase 1 - Golden Way section complete.  </w:t>
            </w:r>
          </w:p>
        </w:tc>
        <w:tc>
          <w:tcPr>
            <w:tcW w:w="1134" w:type="dxa"/>
          </w:tcPr>
          <w:p w:rsidR="0001688F" w:rsidRPr="00FF6059" w:rsidP="00A46EAE">
            <w:pPr>
              <w:tabs>
                <w:tab w:val="left" w:pos="885"/>
              </w:tabs>
              <w:spacing w:line="276" w:lineRule="auto"/>
              <w:jc w:val="center"/>
              <w:rPr>
                <w:rFonts w:ascii="Arial" w:hAnsi="Arial" w:cs="Arial"/>
              </w:rPr>
            </w:pPr>
            <w:r w:rsidRPr="00FF6059">
              <w:rPr>
                <w:rFonts w:ascii="Arial" w:hAnsi="Arial" w:cs="Arial"/>
              </w:rPr>
              <w:t>-</w:t>
            </w:r>
          </w:p>
        </w:tc>
        <w:tc>
          <w:tcPr>
            <w:tcW w:w="709" w:type="dxa"/>
            <w:shd w:val="clear" w:color="auto" w:fill="FFC000"/>
          </w:tcPr>
          <w:p w:rsidR="0001688F" w:rsidRPr="00FF6059" w:rsidP="00A46EAE">
            <w:pPr>
              <w:tabs>
                <w:tab w:val="left" w:pos="885"/>
              </w:tabs>
              <w:spacing w:line="276" w:lineRule="auto"/>
              <w:jc w:val="center"/>
              <w:rPr>
                <w:rFonts w:ascii="Arial" w:hAnsi="Arial" w:cs="Arial"/>
              </w:rPr>
            </w:pPr>
          </w:p>
        </w:tc>
      </w:tr>
    </w:tbl>
    <w:p w:rsidR="00FB438E" w:rsidP="00FB438E">
      <w:pPr>
        <w:pStyle w:val="NoSpacing"/>
      </w:pPr>
    </w:p>
    <w:p w:rsidR="005748BB" w:rsidRPr="00FF6059" w:rsidP="004475BE">
      <w:pPr>
        <w:jc w:val="both"/>
        <w:rPr>
          <w:rFonts w:ascii="Arial" w:hAnsi="Arial" w:cs="Arial"/>
          <w:b/>
          <w:i/>
        </w:rPr>
      </w:pPr>
      <w:r w:rsidRPr="00FF6059">
        <w:rPr>
          <w:rFonts w:ascii="Arial" w:hAnsi="Arial" w:cs="Arial"/>
          <w:b/>
          <w:i/>
        </w:rPr>
        <w:t>Outstanding Issues</w:t>
      </w:r>
    </w:p>
    <w:p w:rsidR="00894C54" w:rsidP="004475BE">
      <w:pPr>
        <w:jc w:val="both"/>
        <w:rPr>
          <w:rFonts w:ascii="Arial" w:hAnsi="Arial" w:cs="Arial"/>
        </w:rPr>
      </w:pPr>
      <w:r w:rsidRPr="00FF6059">
        <w:rPr>
          <w:rFonts w:ascii="Arial" w:hAnsi="Arial" w:cs="Arial"/>
        </w:rPr>
        <w:t>City Deal Review – Agreement on revised Terms for the City Deal has not yet been reached.</w:t>
      </w:r>
      <w:r>
        <w:rPr>
          <w:rFonts w:ascii="Arial" w:hAnsi="Arial" w:cs="Arial"/>
        </w:rPr>
        <w:t xml:space="preserve"> Early February is now the target for adoption of new terms and a revised funding model</w:t>
      </w:r>
      <w:r>
        <w:rPr>
          <w:rFonts w:ascii="Arial" w:hAnsi="Arial" w:cs="Arial"/>
        </w:rPr>
        <w:t>.  This will enable the financial forecast to reflect changes to New Homes Bonus that are expected to be announced as part of the budget announcement in late November/December.  Work to draft and negotiate the new Deal is continuing at pace and will be rev</w:t>
      </w:r>
      <w:r>
        <w:rPr>
          <w:rFonts w:ascii="Arial" w:hAnsi="Arial" w:cs="Arial"/>
        </w:rPr>
        <w:t>iewed by the partners in December, in readiness for reporting in January.</w:t>
      </w:r>
    </w:p>
    <w:p w:rsidR="0032799D" w:rsidP="004475BE">
      <w:pPr>
        <w:jc w:val="both"/>
        <w:rPr>
          <w:rFonts w:ascii="Arial" w:hAnsi="Arial" w:cs="Arial"/>
        </w:rPr>
      </w:pPr>
      <w:r>
        <w:rPr>
          <w:rFonts w:ascii="Arial" w:hAnsi="Arial" w:cs="Arial"/>
        </w:rPr>
        <w:t>A further letter signed by all partners was sent to Luke Hall MP and Robert Jenrick MP in September regarding the financial impact on City Deal as a result of changes to NHB.  A resp</w:t>
      </w:r>
      <w:r>
        <w:rPr>
          <w:rFonts w:ascii="Arial" w:hAnsi="Arial" w:cs="Arial"/>
        </w:rPr>
        <w:t>onse has been received inviting further dialogue with MHCLG officials, which is taking place on 20</w:t>
      </w:r>
      <w:r w:rsidRPr="002C7A36">
        <w:rPr>
          <w:rFonts w:ascii="Arial" w:hAnsi="Arial" w:cs="Arial"/>
          <w:vertAlign w:val="superscript"/>
        </w:rPr>
        <w:t>th</w:t>
      </w:r>
      <w:r>
        <w:rPr>
          <w:rFonts w:ascii="Arial" w:hAnsi="Arial" w:cs="Arial"/>
        </w:rPr>
        <w:t xml:space="preserve"> November.</w:t>
      </w:r>
    </w:p>
    <w:p w:rsidR="0032799D" w:rsidP="004475BE">
      <w:pPr>
        <w:jc w:val="both"/>
        <w:rPr>
          <w:rFonts w:ascii="Arial" w:hAnsi="Arial" w:cs="Arial"/>
        </w:rPr>
      </w:pPr>
      <w:r>
        <w:rPr>
          <w:rFonts w:ascii="Arial" w:hAnsi="Arial" w:cs="Arial"/>
        </w:rPr>
        <w:t>The significant funding commitments for the A582 scheme, Animate Cinema Scheme and Harris Museum, have all been deferred to Quarter 4.  This does</w:t>
      </w:r>
      <w:r>
        <w:rPr>
          <w:rFonts w:ascii="Arial" w:hAnsi="Arial" w:cs="Arial"/>
        </w:rPr>
        <w:t xml:space="preserve"> not adversely affect the programming of these schemes, or the submission of the MRN bid which is on track to be submitted in March.</w:t>
      </w:r>
    </w:p>
    <w:p w:rsidR="00894C54" w:rsidP="004475BE">
      <w:pPr>
        <w:jc w:val="both"/>
        <w:rPr>
          <w:rFonts w:ascii="Arial" w:hAnsi="Arial" w:cs="Arial"/>
        </w:rPr>
      </w:pPr>
      <w:r>
        <w:rPr>
          <w:rFonts w:ascii="Arial" w:hAnsi="Arial" w:cs="Arial"/>
        </w:rPr>
        <w:t>The pause on spending remains in place.</w:t>
      </w:r>
      <w:r w:rsidRPr="0032799D">
        <w:rPr>
          <w:rFonts w:ascii="Arial" w:hAnsi="Arial" w:cs="Arial"/>
        </w:rPr>
        <w:t xml:space="preserve"> </w:t>
      </w:r>
      <w:r w:rsidRPr="00FF6059">
        <w:rPr>
          <w:rFonts w:ascii="Arial" w:hAnsi="Arial" w:cs="Arial"/>
        </w:rPr>
        <w:t>Only schemes where there is a contractual, health and safety or planning obligation</w:t>
      </w:r>
      <w:r w:rsidRPr="00FF6059">
        <w:rPr>
          <w:rFonts w:ascii="Arial" w:hAnsi="Arial" w:cs="Arial"/>
        </w:rPr>
        <w:t xml:space="preserve"> to fulfil, </w:t>
      </w:r>
      <w:r>
        <w:rPr>
          <w:rFonts w:ascii="Arial" w:hAnsi="Arial" w:cs="Arial"/>
        </w:rPr>
        <w:t>are exempt from that pause on spend.</w:t>
      </w:r>
    </w:p>
    <w:p w:rsidR="000F0C02" w:rsidRPr="00FF6059" w:rsidP="004475BE">
      <w:pPr>
        <w:jc w:val="both"/>
        <w:rPr>
          <w:rFonts w:ascii="Arial" w:hAnsi="Arial" w:cs="Arial"/>
          <w:b/>
          <w:i/>
        </w:rPr>
      </w:pPr>
      <w:r w:rsidRPr="00FF6059">
        <w:rPr>
          <w:rFonts w:ascii="Arial" w:hAnsi="Arial" w:cs="Arial"/>
          <w:b/>
          <w:i/>
        </w:rPr>
        <w:t>Risks</w:t>
      </w:r>
    </w:p>
    <w:p w:rsidR="00FC19CA" w:rsidRPr="00312159" w:rsidP="00FC19CA">
      <w:pPr>
        <w:pStyle w:val="NormalNumbered"/>
        <w:rPr>
          <w:sz w:val="22"/>
          <w:szCs w:val="22"/>
        </w:rPr>
      </w:pPr>
      <w:r w:rsidRPr="00CD6D92">
        <w:rPr>
          <w:rFonts w:cs="Arial"/>
          <w:sz w:val="22"/>
          <w:szCs w:val="22"/>
        </w:rPr>
        <w:t xml:space="preserve">A </w:t>
      </w:r>
      <w:r>
        <w:rPr>
          <w:rFonts w:cs="Arial"/>
          <w:sz w:val="22"/>
          <w:szCs w:val="22"/>
        </w:rPr>
        <w:t xml:space="preserve">new </w:t>
      </w:r>
      <w:r w:rsidRPr="00CD6D92">
        <w:rPr>
          <w:rFonts w:cs="Arial"/>
          <w:sz w:val="22"/>
          <w:szCs w:val="22"/>
        </w:rPr>
        <w:t>Single P</w:t>
      </w:r>
      <w:r w:rsidRPr="00CD6D92">
        <w:rPr>
          <w:sz w:val="22"/>
          <w:szCs w:val="22"/>
        </w:rPr>
        <w:t xml:space="preserve">ortfolio Risk Register for the combined programmes </w:t>
      </w:r>
      <w:r>
        <w:rPr>
          <w:sz w:val="22"/>
          <w:szCs w:val="22"/>
        </w:rPr>
        <w:t xml:space="preserve">has been created, which can be found at Appendix M to the main report. </w:t>
      </w:r>
    </w:p>
    <w:p w:rsidR="00173BC8" w:rsidRPr="00FF6059" w:rsidP="004475BE">
      <w:pPr>
        <w:jc w:val="both"/>
        <w:rPr>
          <w:rFonts w:ascii="Arial" w:hAnsi="Arial" w:cs="Arial"/>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E454BA2"/>
    <w:multiLevelType w:val="hybridMultilevel"/>
    <w:tmpl w:val="93CC5C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7D20E7E"/>
    <w:multiLevelType w:val="hybridMultilevel"/>
    <w:tmpl w:val="64A43E4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8F"/>
    <w:pPr>
      <w:ind w:left="720"/>
      <w:contextualSpacing/>
    </w:pPr>
  </w:style>
  <w:style w:type="table" w:customStyle="1" w:styleId="TableGrid1">
    <w:name w:val="Table Grid1"/>
    <w:basedOn w:val="TableNormal"/>
    <w:next w:val="TableGrid"/>
    <w:uiPriority w:val="39"/>
    <w:rsid w:val="0017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3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BC8"/>
    <w:rPr>
      <w:sz w:val="20"/>
      <w:szCs w:val="20"/>
    </w:rPr>
  </w:style>
  <w:style w:type="character" w:styleId="FootnoteReference">
    <w:name w:val="footnote reference"/>
    <w:basedOn w:val="DefaultParagraphFont"/>
    <w:uiPriority w:val="99"/>
    <w:semiHidden/>
    <w:unhideWhenUsed/>
    <w:rsid w:val="00173BC8"/>
    <w:rPr>
      <w:vertAlign w:val="superscript"/>
    </w:rPr>
  </w:style>
  <w:style w:type="table" w:styleId="TableGrid">
    <w:name w:val="Table Grid"/>
    <w:basedOn w:val="TableNormal"/>
    <w:uiPriority w:val="39"/>
    <w:rsid w:val="0017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0A"/>
    <w:rPr>
      <w:rFonts w:ascii="Segoe UI" w:hAnsi="Segoe UI" w:cs="Segoe UI"/>
      <w:sz w:val="18"/>
      <w:szCs w:val="18"/>
    </w:rPr>
  </w:style>
  <w:style w:type="paragraph" w:styleId="NoSpacing">
    <w:name w:val="No Spacing"/>
    <w:uiPriority w:val="1"/>
    <w:qFormat/>
    <w:rsid w:val="00853C0C"/>
    <w:pPr>
      <w:spacing w:after="0" w:line="240" w:lineRule="auto"/>
    </w:pPr>
  </w:style>
  <w:style w:type="character" w:styleId="CommentReference">
    <w:name w:val="annotation reference"/>
    <w:basedOn w:val="DefaultParagraphFont"/>
    <w:uiPriority w:val="99"/>
    <w:semiHidden/>
    <w:unhideWhenUsed/>
    <w:rsid w:val="00894C54"/>
    <w:rPr>
      <w:sz w:val="16"/>
      <w:szCs w:val="16"/>
    </w:rPr>
  </w:style>
  <w:style w:type="paragraph" w:styleId="CommentText">
    <w:name w:val="annotation text"/>
    <w:basedOn w:val="Normal"/>
    <w:link w:val="CommentTextChar"/>
    <w:uiPriority w:val="99"/>
    <w:semiHidden/>
    <w:unhideWhenUsed/>
    <w:rsid w:val="00894C54"/>
    <w:pPr>
      <w:spacing w:line="240" w:lineRule="auto"/>
    </w:pPr>
    <w:rPr>
      <w:sz w:val="20"/>
      <w:szCs w:val="20"/>
    </w:rPr>
  </w:style>
  <w:style w:type="character" w:customStyle="1" w:styleId="CommentTextChar">
    <w:name w:val="Comment Text Char"/>
    <w:basedOn w:val="DefaultParagraphFont"/>
    <w:link w:val="CommentText"/>
    <w:uiPriority w:val="99"/>
    <w:semiHidden/>
    <w:rsid w:val="00894C54"/>
    <w:rPr>
      <w:sz w:val="20"/>
      <w:szCs w:val="20"/>
    </w:rPr>
  </w:style>
  <w:style w:type="paragraph" w:styleId="CommentSubject">
    <w:name w:val="annotation subject"/>
    <w:basedOn w:val="CommentText"/>
    <w:next w:val="CommentText"/>
    <w:link w:val="CommentSubjectChar"/>
    <w:uiPriority w:val="99"/>
    <w:semiHidden/>
    <w:unhideWhenUsed/>
    <w:rsid w:val="00894C54"/>
    <w:rPr>
      <w:b/>
      <w:bCs/>
    </w:rPr>
  </w:style>
  <w:style w:type="character" w:customStyle="1" w:styleId="CommentSubjectChar">
    <w:name w:val="Comment Subject Char"/>
    <w:basedOn w:val="CommentTextChar"/>
    <w:link w:val="CommentSubject"/>
    <w:uiPriority w:val="99"/>
    <w:semiHidden/>
    <w:rsid w:val="00894C54"/>
    <w:rPr>
      <w:b/>
      <w:bCs/>
      <w:sz w:val="20"/>
      <w:szCs w:val="20"/>
    </w:rPr>
  </w:style>
  <w:style w:type="paragraph" w:customStyle="1" w:styleId="NormalNumbered">
    <w:name w:val="Normal Numbered"/>
    <w:basedOn w:val="Normal"/>
    <w:qFormat/>
    <w:rsid w:val="00FC19CA"/>
    <w:pPr>
      <w:tabs>
        <w:tab w:val="left" w:pos="709"/>
        <w:tab w:val="num" w:pos="1112"/>
      </w:tabs>
      <w:spacing w:before="120" w:after="240" w:line="264" w:lineRule="auto"/>
      <w:jc w:val="both"/>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Sarah</dc:creator>
  <cp:lastModifiedBy>Parkinson, Anne-Marie (LEP)</cp:lastModifiedBy>
  <cp:revision>10</cp:revision>
  <dcterms:created xsi:type="dcterms:W3CDTF">2020-11-06T12:56:00Z</dcterms:created>
  <dcterms:modified xsi:type="dcterms:W3CDTF">2020-11-26T10:06:00Z</dcterms:modified>
</cp:coreProperties>
</file>